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39780" w14:textId="77777777" w:rsidR="008F1B5A" w:rsidRDefault="00201255">
      <w:pPr>
        <w:pBdr>
          <w:top w:val="nil"/>
          <w:left w:val="nil"/>
          <w:bottom w:val="nil"/>
          <w:right w:val="nil"/>
          <w:between w:val="nil"/>
        </w:pBdr>
        <w:spacing w:after="160" w:line="259" w:lineRule="auto"/>
        <w:jc w:val="center"/>
        <w:rPr>
          <w:rFonts w:ascii="Arial" w:eastAsia="Arial" w:hAnsi="Arial" w:cs="Arial"/>
          <w:color w:val="000000"/>
          <w:sz w:val="20"/>
          <w:szCs w:val="20"/>
        </w:rPr>
      </w:pPr>
      <w:r>
        <w:rPr>
          <w:rFonts w:ascii="Arial" w:eastAsia="Arial" w:hAnsi="Arial" w:cs="Arial"/>
          <w:b/>
          <w:color w:val="000000"/>
          <w:sz w:val="20"/>
          <w:szCs w:val="20"/>
        </w:rPr>
        <w:t>FLUROTECH ANNOUNCES CLOSING OF FIRST TRANCHE OF PRIVATE PLACEMENT</w:t>
      </w:r>
    </w:p>
    <w:p w14:paraId="32D80881" w14:textId="77777777" w:rsidR="008F1B5A" w:rsidRDefault="00201255">
      <w:pPr>
        <w:spacing w:after="160" w:line="256" w:lineRule="auto"/>
        <w:jc w:val="both"/>
        <w:rPr>
          <w:rFonts w:ascii="Arial" w:eastAsia="Arial" w:hAnsi="Arial" w:cs="Arial"/>
          <w:color w:val="000000"/>
          <w:sz w:val="20"/>
          <w:szCs w:val="20"/>
        </w:rPr>
      </w:pPr>
      <w:bookmarkStart w:id="0" w:name="_gjdgxs" w:colFirst="0" w:colLast="0"/>
      <w:bookmarkEnd w:id="0"/>
      <w:r>
        <w:rPr>
          <w:rFonts w:ascii="Arial" w:eastAsia="Arial" w:hAnsi="Arial" w:cs="Arial"/>
          <w:b/>
          <w:color w:val="000000"/>
          <w:sz w:val="20"/>
          <w:szCs w:val="20"/>
        </w:rPr>
        <w:t>Calgary, Alberta, January 8, 202</w:t>
      </w:r>
      <w:r>
        <w:rPr>
          <w:rFonts w:ascii="Arial" w:eastAsia="Arial" w:hAnsi="Arial" w:cs="Arial"/>
          <w:b/>
          <w:sz w:val="20"/>
          <w:szCs w:val="20"/>
        </w:rPr>
        <w:t>1</w:t>
      </w:r>
      <w:r>
        <w:rPr>
          <w:rFonts w:ascii="Arial" w:eastAsia="Arial" w:hAnsi="Arial" w:cs="Arial"/>
          <w:color w:val="000000"/>
          <w:sz w:val="20"/>
          <w:szCs w:val="20"/>
        </w:rPr>
        <w:t xml:space="preserve"> –</w:t>
      </w:r>
      <w:r>
        <w:rPr>
          <w:rFonts w:ascii="Calibri" w:eastAsia="Calibri" w:hAnsi="Calibri" w:cs="Calibri"/>
          <w:color w:val="000000"/>
          <w:sz w:val="22"/>
          <w:szCs w:val="22"/>
        </w:rPr>
        <w:t xml:space="preserve"> </w:t>
      </w:r>
      <w:hyperlink r:id="rId6">
        <w:r>
          <w:rPr>
            <w:rFonts w:ascii="Arial" w:eastAsia="Arial" w:hAnsi="Arial" w:cs="Arial"/>
            <w:color w:val="000000"/>
            <w:sz w:val="20"/>
            <w:szCs w:val="20"/>
          </w:rPr>
          <w:t xml:space="preserve">FluroTech Ltd. </w:t>
        </w:r>
      </w:hyperlink>
      <w:r>
        <w:rPr>
          <w:rFonts w:ascii="Arial" w:eastAsia="Arial" w:hAnsi="Arial" w:cs="Arial"/>
          <w:color w:val="000000"/>
          <w:sz w:val="20"/>
          <w:szCs w:val="20"/>
        </w:rPr>
        <w:t xml:space="preserve"> (</w:t>
      </w:r>
      <w:r>
        <w:rPr>
          <w:rFonts w:ascii="Arial" w:eastAsia="Arial" w:hAnsi="Arial" w:cs="Arial"/>
          <w:b/>
          <w:color w:val="000000"/>
          <w:sz w:val="20"/>
          <w:szCs w:val="20"/>
        </w:rPr>
        <w:t xml:space="preserve">TSXV: </w:t>
      </w:r>
      <w:hyperlink r:id="rId7">
        <w:r>
          <w:rPr>
            <w:rFonts w:ascii="Arial" w:eastAsia="Arial" w:hAnsi="Arial" w:cs="Arial"/>
            <w:b/>
            <w:color w:val="000000"/>
            <w:sz w:val="20"/>
            <w:szCs w:val="20"/>
          </w:rPr>
          <w:t>TEST</w:t>
        </w:r>
      </w:hyperlink>
      <w:r>
        <w:rPr>
          <w:rFonts w:ascii="Arial" w:eastAsia="Arial" w:hAnsi="Arial" w:cs="Arial"/>
          <w:color w:val="000000"/>
          <w:sz w:val="20"/>
          <w:szCs w:val="20"/>
        </w:rPr>
        <w:t>) (</w:t>
      </w:r>
      <w:r>
        <w:rPr>
          <w:rFonts w:ascii="Arial" w:eastAsia="Arial" w:hAnsi="Arial" w:cs="Arial"/>
          <w:b/>
          <w:color w:val="000000"/>
          <w:sz w:val="20"/>
          <w:szCs w:val="20"/>
        </w:rPr>
        <w:t xml:space="preserve">OTCQB: </w:t>
      </w:r>
      <w:hyperlink r:id="rId8">
        <w:r>
          <w:rPr>
            <w:rFonts w:ascii="Arial" w:eastAsia="Arial" w:hAnsi="Arial" w:cs="Arial"/>
            <w:b/>
            <w:color w:val="000000"/>
            <w:sz w:val="20"/>
            <w:szCs w:val="20"/>
          </w:rPr>
          <w:t>FLURF</w:t>
        </w:r>
      </w:hyperlink>
      <w:r>
        <w:rPr>
          <w:rFonts w:ascii="Arial" w:eastAsia="Arial" w:hAnsi="Arial" w:cs="Arial"/>
          <w:color w:val="000000"/>
          <w:sz w:val="20"/>
          <w:szCs w:val="20"/>
        </w:rPr>
        <w:t xml:space="preserve">) (“FluroTech” or the “Company”), </w:t>
      </w:r>
      <w:r w:rsidRPr="0085512C">
        <w:rPr>
          <w:rFonts w:ascii="Arial" w:eastAsia="Arial" w:hAnsi="Arial" w:cs="Arial"/>
          <w:color w:val="000000"/>
          <w:sz w:val="20"/>
          <w:szCs w:val="20"/>
        </w:rPr>
        <w:t>is</w:t>
      </w:r>
      <w:r w:rsidRPr="0085512C">
        <w:rPr>
          <w:rFonts w:ascii="Arial" w:eastAsia="Arial" w:hAnsi="Arial" w:cs="Arial"/>
          <w:color w:val="000000"/>
          <w:sz w:val="20"/>
          <w:szCs w:val="20"/>
        </w:rPr>
        <w:t xml:space="preserve"> </w:t>
      </w:r>
      <w:r w:rsidRPr="0085512C">
        <w:rPr>
          <w:rFonts w:ascii="Arial" w:eastAsia="Arial" w:hAnsi="Arial" w:cs="Arial"/>
          <w:sz w:val="20"/>
          <w:szCs w:val="20"/>
        </w:rPr>
        <w:t>very</w:t>
      </w:r>
      <w:r w:rsidRPr="0085512C">
        <w:rPr>
          <w:rFonts w:ascii="Arial" w:eastAsia="Arial" w:hAnsi="Arial" w:cs="Arial"/>
          <w:sz w:val="20"/>
          <w:szCs w:val="20"/>
        </w:rPr>
        <w:t xml:space="preserve"> </w:t>
      </w:r>
      <w:r w:rsidRPr="0085512C">
        <w:rPr>
          <w:rFonts w:ascii="Arial" w:eastAsia="Arial" w:hAnsi="Arial" w:cs="Arial"/>
          <w:color w:val="000000"/>
          <w:sz w:val="20"/>
          <w:szCs w:val="20"/>
        </w:rPr>
        <w:t>pleased to</w:t>
      </w:r>
      <w:r>
        <w:rPr>
          <w:rFonts w:ascii="Arial" w:eastAsia="Arial" w:hAnsi="Arial" w:cs="Arial"/>
          <w:color w:val="000000"/>
          <w:sz w:val="20"/>
          <w:szCs w:val="20"/>
        </w:rPr>
        <w:t xml:space="preserve"> announce that it has closed the first tranche of a non-brokered pri</w:t>
      </w:r>
      <w:r>
        <w:rPr>
          <w:rFonts w:ascii="Arial" w:eastAsia="Arial" w:hAnsi="Arial" w:cs="Arial"/>
          <w:color w:val="000000"/>
          <w:sz w:val="20"/>
          <w:szCs w:val="20"/>
        </w:rPr>
        <w:t xml:space="preserve">vate placement previously announced on December 7, 2020 (the “Offering”). </w:t>
      </w:r>
    </w:p>
    <w:p w14:paraId="24CB1222" w14:textId="77777777" w:rsidR="008F1B5A" w:rsidRDefault="00201255">
      <w:pPr>
        <w:spacing w:after="160" w:line="256" w:lineRule="auto"/>
        <w:jc w:val="both"/>
        <w:rPr>
          <w:rFonts w:ascii="Arial" w:eastAsia="Arial" w:hAnsi="Arial" w:cs="Arial"/>
          <w:color w:val="000000"/>
          <w:sz w:val="20"/>
          <w:szCs w:val="20"/>
        </w:rPr>
      </w:pPr>
      <w:r>
        <w:rPr>
          <w:rFonts w:ascii="Arial" w:eastAsia="Arial" w:hAnsi="Arial" w:cs="Arial"/>
          <w:color w:val="000000"/>
          <w:sz w:val="20"/>
          <w:szCs w:val="20"/>
        </w:rPr>
        <w:t xml:space="preserve">A total of 3,105,182 Units were sold under the first tranche at a price of $0.135 per Unit for aggregate gross </w:t>
      </w:r>
      <w:r w:rsidRPr="0085512C">
        <w:rPr>
          <w:rFonts w:ascii="Arial" w:eastAsia="Arial" w:hAnsi="Arial" w:cs="Arial"/>
          <w:color w:val="000000"/>
          <w:sz w:val="20"/>
          <w:szCs w:val="20"/>
        </w:rPr>
        <w:t>proceeds of</w:t>
      </w:r>
      <w:r w:rsidRPr="0085512C">
        <w:rPr>
          <w:rFonts w:ascii="Arial" w:eastAsia="Arial" w:hAnsi="Arial" w:cs="Arial"/>
          <w:color w:val="000000"/>
          <w:sz w:val="20"/>
          <w:szCs w:val="20"/>
        </w:rPr>
        <w:t xml:space="preserve"> $419,200</w:t>
      </w:r>
      <w:r w:rsidRPr="0085512C">
        <w:rPr>
          <w:rFonts w:ascii="Arial" w:eastAsia="Arial" w:hAnsi="Arial" w:cs="Arial"/>
          <w:color w:val="000000"/>
          <w:sz w:val="20"/>
          <w:szCs w:val="20"/>
        </w:rPr>
        <w:t>. Each Unit is comprised of one common share in th</w:t>
      </w:r>
      <w:r w:rsidRPr="0085512C">
        <w:rPr>
          <w:rFonts w:ascii="Arial" w:eastAsia="Arial" w:hAnsi="Arial" w:cs="Arial"/>
          <w:color w:val="000000"/>
          <w:sz w:val="20"/>
          <w:szCs w:val="20"/>
        </w:rPr>
        <w:t>e capital of the Company (“Common Share”) and one Common Share</w:t>
      </w:r>
      <w:r>
        <w:rPr>
          <w:rFonts w:ascii="Arial" w:eastAsia="Arial" w:hAnsi="Arial" w:cs="Arial"/>
          <w:color w:val="000000"/>
          <w:sz w:val="20"/>
          <w:szCs w:val="20"/>
        </w:rPr>
        <w:t xml:space="preserve"> purchase warrant (“Warrant”). Each Warrant entitles the holder thereof to acquire one Common Share at a price of $0.22 per share for a period of 12 months from the date such Warrant was issued;</w:t>
      </w:r>
      <w:r>
        <w:rPr>
          <w:rFonts w:ascii="Arial" w:eastAsia="Arial" w:hAnsi="Arial" w:cs="Arial"/>
          <w:color w:val="000000"/>
          <w:sz w:val="20"/>
          <w:szCs w:val="20"/>
        </w:rPr>
        <w:t xml:space="preserve"> provided that, if the closing price of the Common Share (or the closing bid, if no sales were reported on a trading day) as quoted on the exchange on any 5 consecutive trading days is greater than $0.395 per Common Share, the Company may provide notice in</w:t>
      </w:r>
      <w:r>
        <w:rPr>
          <w:rFonts w:ascii="Arial" w:eastAsia="Arial" w:hAnsi="Arial" w:cs="Arial"/>
          <w:color w:val="000000"/>
          <w:sz w:val="20"/>
          <w:szCs w:val="20"/>
        </w:rPr>
        <w:t xml:space="preserve"> writing to the holders of the Warrants by issuance of a press release that the expiry date of the Warrants will be accelerated to the 15</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day after the date on which the Company issues such press release. </w:t>
      </w:r>
    </w:p>
    <w:p w14:paraId="1D8370F4" w14:textId="77777777" w:rsidR="008F1B5A" w:rsidRDefault="00201255">
      <w:pPr>
        <w:spacing w:after="160" w:line="256" w:lineRule="auto"/>
        <w:jc w:val="both"/>
        <w:rPr>
          <w:rFonts w:ascii="Arial" w:eastAsia="Arial" w:hAnsi="Arial" w:cs="Arial"/>
          <w:color w:val="000000"/>
          <w:sz w:val="20"/>
          <w:szCs w:val="20"/>
        </w:rPr>
      </w:pPr>
      <w:r>
        <w:rPr>
          <w:rFonts w:ascii="Arial" w:eastAsia="Arial" w:hAnsi="Arial" w:cs="Arial"/>
          <w:color w:val="000000"/>
          <w:sz w:val="20"/>
          <w:szCs w:val="20"/>
        </w:rPr>
        <w:t xml:space="preserve">In connection with the first tranche of the Offering, the Company paid a finder’s fee to eligible persons consisting of a cash payment in the aggregate amount of </w:t>
      </w:r>
      <w:r w:rsidRPr="0085512C">
        <w:rPr>
          <w:rFonts w:ascii="Arial" w:eastAsia="Arial" w:hAnsi="Arial" w:cs="Arial"/>
          <w:color w:val="000000"/>
          <w:sz w:val="20"/>
          <w:szCs w:val="20"/>
        </w:rPr>
        <w:t xml:space="preserve">approximately </w:t>
      </w:r>
      <w:r w:rsidRPr="0085512C">
        <w:rPr>
          <w:rFonts w:ascii="Arial" w:eastAsia="Arial" w:hAnsi="Arial" w:cs="Arial"/>
          <w:color w:val="000000"/>
          <w:sz w:val="20"/>
          <w:szCs w:val="20"/>
        </w:rPr>
        <w:t>$29,343</w:t>
      </w:r>
      <w:r w:rsidRPr="0085512C">
        <w:rPr>
          <w:rFonts w:ascii="Arial" w:eastAsia="Arial" w:hAnsi="Arial" w:cs="Arial"/>
          <w:color w:val="000000"/>
          <w:sz w:val="20"/>
          <w:szCs w:val="20"/>
        </w:rPr>
        <w:t xml:space="preserve"> and</w:t>
      </w:r>
      <w:r>
        <w:rPr>
          <w:rFonts w:ascii="Arial" w:eastAsia="Arial" w:hAnsi="Arial" w:cs="Arial"/>
          <w:color w:val="000000"/>
          <w:sz w:val="20"/>
          <w:szCs w:val="20"/>
        </w:rPr>
        <w:t xml:space="preserve"> the issuance of an aggregate of 217,363 finder’s options (“Finder’s </w:t>
      </w:r>
      <w:r>
        <w:rPr>
          <w:rFonts w:ascii="Arial" w:eastAsia="Arial" w:hAnsi="Arial" w:cs="Arial"/>
          <w:color w:val="000000"/>
          <w:sz w:val="20"/>
          <w:szCs w:val="20"/>
        </w:rPr>
        <w:t xml:space="preserve">Options”).  Each Finder’s Option entitles the holder thereof to acquire one Common Share at a price of $0.15 per share for a period of 12 months from the date such Finder’s Option was issued. </w:t>
      </w:r>
    </w:p>
    <w:p w14:paraId="569108DF" w14:textId="77777777" w:rsidR="008F1B5A" w:rsidRDefault="002012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0"/>
          <w:szCs w:val="20"/>
        </w:rPr>
      </w:pPr>
      <w:r>
        <w:rPr>
          <w:rFonts w:ascii="Arial" w:eastAsia="Arial" w:hAnsi="Arial" w:cs="Arial"/>
          <w:sz w:val="20"/>
          <w:szCs w:val="20"/>
        </w:rPr>
        <w:t>The Common Shares, Warrants and Finder’s Options are subject to</w:t>
      </w:r>
      <w:r>
        <w:rPr>
          <w:rFonts w:ascii="Arial" w:eastAsia="Arial" w:hAnsi="Arial" w:cs="Arial"/>
          <w:sz w:val="20"/>
          <w:szCs w:val="20"/>
        </w:rPr>
        <w:t xml:space="preserve"> a hold period under applicable securities laws until May 8, 2021.  </w:t>
      </w:r>
    </w:p>
    <w:p w14:paraId="150E30C0" w14:textId="77777777" w:rsidR="008F1B5A" w:rsidRDefault="008F1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5C70F224" w14:textId="77777777" w:rsidR="008F1B5A" w:rsidRDefault="00201255">
      <w:pPr>
        <w:spacing w:after="160" w:line="256" w:lineRule="auto"/>
        <w:jc w:val="both"/>
        <w:rPr>
          <w:rFonts w:ascii="Arial" w:eastAsia="Arial" w:hAnsi="Arial" w:cs="Arial"/>
          <w:color w:val="000000"/>
          <w:sz w:val="20"/>
          <w:szCs w:val="20"/>
        </w:rPr>
      </w:pPr>
      <w:r>
        <w:rPr>
          <w:rFonts w:ascii="Arial" w:eastAsia="Arial" w:hAnsi="Arial" w:cs="Arial"/>
          <w:color w:val="000000"/>
          <w:sz w:val="20"/>
          <w:szCs w:val="20"/>
        </w:rPr>
        <w:t xml:space="preserve">The proceeds from the Offering are expected to be utilized for further investment into </w:t>
      </w:r>
      <w:proofErr w:type="spellStart"/>
      <w:r>
        <w:rPr>
          <w:rFonts w:ascii="Arial" w:eastAsia="Arial" w:hAnsi="Arial" w:cs="Arial"/>
          <w:color w:val="000000"/>
          <w:sz w:val="20"/>
          <w:szCs w:val="20"/>
        </w:rPr>
        <w:t>FluroTest</w:t>
      </w:r>
      <w:proofErr w:type="spellEnd"/>
      <w:r>
        <w:rPr>
          <w:rFonts w:ascii="Arial" w:eastAsia="Arial" w:hAnsi="Arial" w:cs="Arial"/>
          <w:color w:val="000000"/>
          <w:sz w:val="20"/>
          <w:szCs w:val="20"/>
        </w:rPr>
        <w:t xml:space="preserve"> Systems Ltd. (“</w:t>
      </w:r>
      <w:proofErr w:type="spellStart"/>
      <w:r>
        <w:rPr>
          <w:rFonts w:ascii="Arial" w:eastAsia="Arial" w:hAnsi="Arial" w:cs="Arial"/>
          <w:b/>
          <w:color w:val="000000"/>
          <w:sz w:val="20"/>
          <w:szCs w:val="20"/>
        </w:rPr>
        <w:t>FluroTest</w:t>
      </w:r>
      <w:proofErr w:type="spellEnd"/>
      <w:r>
        <w:rPr>
          <w:rFonts w:ascii="Arial" w:eastAsia="Arial" w:hAnsi="Arial" w:cs="Arial"/>
          <w:color w:val="000000"/>
          <w:sz w:val="20"/>
          <w:szCs w:val="20"/>
        </w:rPr>
        <w:t xml:space="preserve">”), a company formed to develop and </w:t>
      </w:r>
      <w:r w:rsidRPr="0085512C">
        <w:rPr>
          <w:rFonts w:ascii="Arial" w:eastAsia="Arial" w:hAnsi="Arial" w:cs="Arial"/>
          <w:color w:val="000000"/>
          <w:sz w:val="20"/>
          <w:szCs w:val="20"/>
        </w:rPr>
        <w:t>commercialize a</w:t>
      </w:r>
      <w:r w:rsidRPr="0085512C">
        <w:rPr>
          <w:rFonts w:ascii="Arial" w:eastAsia="Arial" w:hAnsi="Arial" w:cs="Arial"/>
          <w:sz w:val="20"/>
          <w:szCs w:val="20"/>
        </w:rPr>
        <w:t xml:space="preserve"> </w:t>
      </w:r>
      <w:r w:rsidRPr="0085512C">
        <w:rPr>
          <w:rFonts w:ascii="Roboto" w:eastAsia="Roboto" w:hAnsi="Roboto" w:cs="Roboto"/>
          <w:sz w:val="21"/>
          <w:szCs w:val="21"/>
        </w:rPr>
        <w:t>revolutionary</w:t>
      </w:r>
      <w:r w:rsidRPr="0085512C">
        <w:rPr>
          <w:rFonts w:ascii="Arial" w:eastAsia="Arial" w:hAnsi="Arial" w:cs="Arial"/>
          <w:sz w:val="20"/>
          <w:szCs w:val="20"/>
        </w:rPr>
        <w:t xml:space="preserve"> </w:t>
      </w:r>
      <w:r w:rsidRPr="0085512C">
        <w:rPr>
          <w:rFonts w:ascii="Arial" w:eastAsia="Arial" w:hAnsi="Arial" w:cs="Arial"/>
          <w:color w:val="000000"/>
          <w:sz w:val="20"/>
          <w:szCs w:val="20"/>
        </w:rPr>
        <w:t xml:space="preserve">pandemic defense system, </w:t>
      </w:r>
      <w:r w:rsidRPr="0085512C">
        <w:rPr>
          <w:rFonts w:ascii="Arial" w:eastAsia="Arial" w:hAnsi="Arial" w:cs="Arial"/>
          <w:sz w:val="20"/>
          <w:szCs w:val="20"/>
        </w:rPr>
        <w:t>accelerating</w:t>
      </w:r>
      <w:r w:rsidRPr="0085512C">
        <w:rPr>
          <w:rFonts w:ascii="Arial" w:eastAsia="Arial" w:hAnsi="Arial" w:cs="Arial"/>
          <w:color w:val="000000"/>
          <w:sz w:val="20"/>
          <w:szCs w:val="20"/>
        </w:rPr>
        <w:t xml:space="preserve"> optimization work to prepare the system for a</w:t>
      </w:r>
      <w:r w:rsidRPr="0085512C">
        <w:rPr>
          <w:rFonts w:ascii="Arial" w:eastAsia="Arial" w:hAnsi="Arial" w:cs="Arial"/>
          <w:sz w:val="20"/>
          <w:szCs w:val="20"/>
        </w:rPr>
        <w:t xml:space="preserve"> real-world</w:t>
      </w:r>
      <w:r w:rsidRPr="0085512C">
        <w:rPr>
          <w:rFonts w:ascii="Arial" w:eastAsia="Arial" w:hAnsi="Arial" w:cs="Arial"/>
          <w:color w:val="000000"/>
          <w:sz w:val="20"/>
          <w:szCs w:val="20"/>
        </w:rPr>
        <w:t xml:space="preserve"> clinical trial</w:t>
      </w:r>
      <w:r w:rsidRPr="0085512C">
        <w:rPr>
          <w:rFonts w:ascii="Arial" w:eastAsia="Arial" w:hAnsi="Arial" w:cs="Arial"/>
          <w:color w:val="000000"/>
          <w:sz w:val="20"/>
          <w:szCs w:val="20"/>
        </w:rPr>
        <w:t xml:space="preserve"> and general</w:t>
      </w:r>
      <w:r>
        <w:rPr>
          <w:rFonts w:ascii="Arial" w:eastAsia="Arial" w:hAnsi="Arial" w:cs="Arial"/>
          <w:color w:val="000000"/>
          <w:sz w:val="20"/>
          <w:szCs w:val="20"/>
        </w:rPr>
        <w:t xml:space="preserve"> working capital.  </w:t>
      </w:r>
    </w:p>
    <w:p w14:paraId="74063859" w14:textId="77777777" w:rsidR="008F1B5A" w:rsidRDefault="00201255">
      <w:pPr>
        <w:pBdr>
          <w:top w:val="nil"/>
          <w:left w:val="nil"/>
          <w:bottom w:val="nil"/>
          <w:right w:val="nil"/>
          <w:between w:val="nil"/>
        </w:pBdr>
        <w:tabs>
          <w:tab w:val="left" w:pos="7352"/>
        </w:tabs>
        <w:spacing w:after="160" w:line="259" w:lineRule="auto"/>
        <w:jc w:val="both"/>
        <w:rPr>
          <w:rFonts w:ascii="Arial" w:eastAsia="Arial" w:hAnsi="Arial" w:cs="Arial"/>
          <w:b/>
          <w:color w:val="000000"/>
          <w:sz w:val="20"/>
          <w:szCs w:val="20"/>
        </w:rPr>
      </w:pPr>
      <w:r>
        <w:rPr>
          <w:rFonts w:ascii="Arial" w:eastAsia="Arial" w:hAnsi="Arial" w:cs="Arial"/>
          <w:b/>
          <w:color w:val="000000"/>
          <w:sz w:val="20"/>
          <w:szCs w:val="20"/>
        </w:rPr>
        <w:t>About</w:t>
      </w:r>
      <w:hyperlink r:id="rId9">
        <w:r>
          <w:rPr>
            <w:rFonts w:ascii="Arial" w:eastAsia="Arial" w:hAnsi="Arial" w:cs="Arial"/>
            <w:b/>
            <w:color w:val="000000"/>
            <w:sz w:val="20"/>
            <w:szCs w:val="20"/>
          </w:rPr>
          <w:t xml:space="preserve"> </w:t>
        </w:r>
      </w:hyperlink>
      <w:hyperlink r:id="rId10">
        <w:r>
          <w:rPr>
            <w:rFonts w:ascii="Arial" w:eastAsia="Arial" w:hAnsi="Arial" w:cs="Arial"/>
            <w:b/>
            <w:color w:val="000000"/>
            <w:sz w:val="20"/>
            <w:szCs w:val="20"/>
          </w:rPr>
          <w:t>FluroTech</w:t>
        </w:r>
      </w:hyperlink>
      <w:r>
        <w:rPr>
          <w:rFonts w:ascii="Arial" w:eastAsia="Arial" w:hAnsi="Arial" w:cs="Arial"/>
          <w:b/>
          <w:color w:val="000000"/>
          <w:sz w:val="20"/>
          <w:szCs w:val="20"/>
        </w:rPr>
        <w:t xml:space="preserve"> (TSXV: </w:t>
      </w:r>
      <w:hyperlink r:id="rId11">
        <w:r>
          <w:rPr>
            <w:rFonts w:ascii="Arial" w:eastAsia="Arial" w:hAnsi="Arial" w:cs="Arial"/>
            <w:b/>
            <w:color w:val="000000"/>
            <w:sz w:val="20"/>
            <w:szCs w:val="20"/>
          </w:rPr>
          <w:t>TEST</w:t>
        </w:r>
      </w:hyperlink>
      <w:r>
        <w:rPr>
          <w:rFonts w:ascii="Arial" w:eastAsia="Arial" w:hAnsi="Arial" w:cs="Arial"/>
          <w:b/>
          <w:color w:val="000000"/>
          <w:sz w:val="20"/>
          <w:szCs w:val="20"/>
        </w:rPr>
        <w:t xml:space="preserve">) (OTCQB: </w:t>
      </w:r>
      <w:hyperlink r:id="rId12">
        <w:r>
          <w:rPr>
            <w:rFonts w:ascii="Arial" w:eastAsia="Arial" w:hAnsi="Arial" w:cs="Arial"/>
            <w:b/>
            <w:color w:val="000000"/>
            <w:sz w:val="20"/>
            <w:szCs w:val="20"/>
          </w:rPr>
          <w:t>FLURF</w:t>
        </w:r>
      </w:hyperlink>
      <w:r>
        <w:rPr>
          <w:rFonts w:ascii="Arial" w:eastAsia="Arial" w:hAnsi="Arial" w:cs="Arial"/>
          <w:b/>
          <w:color w:val="000000"/>
          <w:sz w:val="20"/>
          <w:szCs w:val="20"/>
        </w:rPr>
        <w:t>)</w:t>
      </w:r>
    </w:p>
    <w:p w14:paraId="2DACB667" w14:textId="77777777" w:rsidR="008F1B5A" w:rsidRDefault="00201255">
      <w:pPr>
        <w:pBdr>
          <w:top w:val="nil"/>
          <w:left w:val="nil"/>
          <w:bottom w:val="nil"/>
          <w:right w:val="nil"/>
          <w:between w:val="nil"/>
        </w:pBdr>
        <w:spacing w:after="160" w:line="259" w:lineRule="auto"/>
        <w:jc w:val="both"/>
        <w:rPr>
          <w:rFonts w:ascii="Arial" w:eastAsia="Arial" w:hAnsi="Arial" w:cs="Arial"/>
          <w:color w:val="0000FF"/>
          <w:sz w:val="20"/>
          <w:szCs w:val="20"/>
          <w:u w:val="single"/>
        </w:rPr>
      </w:pPr>
      <w:hyperlink r:id="rId13">
        <w:proofErr w:type="spellStart"/>
        <w:r>
          <w:rPr>
            <w:rFonts w:ascii="Arial" w:eastAsia="Arial" w:hAnsi="Arial" w:cs="Arial"/>
            <w:color w:val="000000"/>
            <w:sz w:val="20"/>
            <w:szCs w:val="20"/>
          </w:rPr>
          <w:t>FluroTech</w:t>
        </w:r>
      </w:hyperlink>
      <w:r>
        <w:rPr>
          <w:rFonts w:ascii="Arial" w:eastAsia="Arial" w:hAnsi="Arial" w:cs="Arial"/>
          <w:color w:val="000000"/>
          <w:sz w:val="20"/>
          <w:szCs w:val="20"/>
        </w:rPr>
        <w:t>’s</w:t>
      </w:r>
      <w:proofErr w:type="spellEnd"/>
      <w:r>
        <w:rPr>
          <w:rFonts w:ascii="Arial" w:eastAsia="Arial" w:hAnsi="Arial" w:cs="Arial"/>
          <w:color w:val="000000"/>
          <w:sz w:val="20"/>
          <w:szCs w:val="20"/>
        </w:rPr>
        <w:t xml:space="preserve"> proprietary spectroscopy-based technology allows for the testing and identification of organic and inorganic compounds contained within biological samples for specific applications. Using technology that was first developed at the University of Calgary,</w:t>
      </w:r>
      <w:r>
        <w:rPr>
          <w:rFonts w:ascii="Arial" w:eastAsia="Arial" w:hAnsi="Arial" w:cs="Arial"/>
          <w:color w:val="000000"/>
          <w:sz w:val="20"/>
          <w:szCs w:val="20"/>
        </w:rPr>
        <w:t xml:space="preserve"> </w:t>
      </w:r>
      <w:hyperlink r:id="rId14">
        <w:r>
          <w:rPr>
            <w:rFonts w:ascii="Arial" w:eastAsia="Arial" w:hAnsi="Arial" w:cs="Arial"/>
            <w:color w:val="000000"/>
            <w:sz w:val="20"/>
            <w:szCs w:val="20"/>
          </w:rPr>
          <w:t>FluroTech</w:t>
        </w:r>
      </w:hyperlink>
      <w:r>
        <w:rPr>
          <w:rFonts w:ascii="Arial" w:eastAsia="Arial" w:hAnsi="Arial" w:cs="Arial"/>
          <w:color w:val="000000"/>
          <w:sz w:val="20"/>
          <w:szCs w:val="20"/>
        </w:rPr>
        <w:t xml:space="preserve"> has created a two-part solution </w:t>
      </w:r>
      <w:r>
        <w:rPr>
          <w:rFonts w:ascii="Arial" w:eastAsia="Arial" w:hAnsi="Arial" w:cs="Arial"/>
          <w:sz w:val="20"/>
          <w:szCs w:val="20"/>
        </w:rPr>
        <w:t>consisting</w:t>
      </w:r>
      <w:r>
        <w:rPr>
          <w:rFonts w:ascii="Arial" w:eastAsia="Arial" w:hAnsi="Arial" w:cs="Arial"/>
          <w:color w:val="000000"/>
          <w:sz w:val="20"/>
          <w:szCs w:val="20"/>
        </w:rPr>
        <w:t xml:space="preserve"> of its </w:t>
      </w:r>
      <w:hyperlink r:id="rId15">
        <w:r>
          <w:rPr>
            <w:rFonts w:ascii="Arial" w:eastAsia="Arial" w:hAnsi="Arial" w:cs="Arial"/>
            <w:color w:val="000000"/>
            <w:sz w:val="20"/>
            <w:szCs w:val="20"/>
          </w:rPr>
          <w:t>CompleTest</w:t>
        </w:r>
      </w:hyperlink>
      <w:r>
        <w:rPr>
          <w:rFonts w:ascii="Arial" w:eastAsia="Arial" w:hAnsi="Arial" w:cs="Arial"/>
          <w:color w:val="000000"/>
          <w:sz w:val="20"/>
          <w:szCs w:val="20"/>
        </w:rPr>
        <w:t>™ platform technology and consumable testing kits.  Its accuracy has been independently vali</w:t>
      </w:r>
      <w:r>
        <w:rPr>
          <w:rFonts w:ascii="Arial" w:eastAsia="Arial" w:hAnsi="Arial" w:cs="Arial"/>
          <w:color w:val="000000"/>
          <w:sz w:val="20"/>
          <w:szCs w:val="20"/>
        </w:rPr>
        <w:t>dated. FluroTech continues to develop additional applications for the CompleTest</w:t>
      </w:r>
      <w:r>
        <w:rPr>
          <w:rFonts w:ascii="Arial" w:eastAsia="Arial" w:hAnsi="Arial" w:cs="Arial"/>
          <w:color w:val="000000"/>
          <w:sz w:val="20"/>
          <w:szCs w:val="20"/>
          <w:vertAlign w:val="superscript"/>
        </w:rPr>
        <w:t>TM</w:t>
      </w:r>
      <w:r>
        <w:rPr>
          <w:rFonts w:ascii="Arial" w:eastAsia="Arial" w:hAnsi="Arial" w:cs="Arial"/>
          <w:color w:val="000000"/>
          <w:sz w:val="20"/>
          <w:szCs w:val="20"/>
        </w:rPr>
        <w:t xml:space="preserve"> platform technology.  To learn more, visit</w:t>
      </w:r>
      <w:r>
        <w:rPr>
          <w:rFonts w:ascii="Calibri" w:eastAsia="Calibri" w:hAnsi="Calibri" w:cs="Calibri"/>
          <w:color w:val="000000"/>
          <w:sz w:val="22"/>
          <w:szCs w:val="22"/>
        </w:rPr>
        <w:t xml:space="preserve"> </w:t>
      </w:r>
      <w:hyperlink r:id="rId16">
        <w:r>
          <w:rPr>
            <w:rFonts w:ascii="Arial" w:eastAsia="Arial" w:hAnsi="Arial" w:cs="Arial"/>
            <w:color w:val="0000FF"/>
            <w:sz w:val="20"/>
            <w:szCs w:val="20"/>
            <w:u w:val="single"/>
          </w:rPr>
          <w:t>FluroTech.com</w:t>
        </w:r>
      </w:hyperlink>
    </w:p>
    <w:p w14:paraId="55DE61DC" w14:textId="77777777" w:rsidR="008F1B5A" w:rsidRDefault="00201255">
      <w:pPr>
        <w:pBdr>
          <w:top w:val="nil"/>
          <w:left w:val="nil"/>
          <w:bottom w:val="nil"/>
          <w:right w:val="nil"/>
          <w:between w:val="nil"/>
        </w:pBdr>
        <w:tabs>
          <w:tab w:val="left" w:pos="7352"/>
        </w:tabs>
        <w:spacing w:after="160" w:line="259" w:lineRule="auto"/>
        <w:jc w:val="both"/>
        <w:rPr>
          <w:rFonts w:ascii="Arial" w:eastAsia="Arial" w:hAnsi="Arial" w:cs="Arial"/>
          <w:b/>
          <w:color w:val="000000"/>
          <w:sz w:val="20"/>
          <w:szCs w:val="20"/>
        </w:rPr>
      </w:pPr>
      <w:r>
        <w:rPr>
          <w:rFonts w:ascii="Arial" w:eastAsia="Arial" w:hAnsi="Arial" w:cs="Arial"/>
          <w:b/>
          <w:color w:val="000000"/>
          <w:sz w:val="20"/>
          <w:szCs w:val="20"/>
        </w:rPr>
        <w:t xml:space="preserve">About </w:t>
      </w:r>
      <w:proofErr w:type="spellStart"/>
      <w:r>
        <w:rPr>
          <w:rFonts w:ascii="Arial" w:eastAsia="Arial" w:hAnsi="Arial" w:cs="Arial"/>
          <w:b/>
          <w:color w:val="000000"/>
          <w:sz w:val="20"/>
          <w:szCs w:val="20"/>
        </w:rPr>
        <w:t>FluroTest</w:t>
      </w:r>
      <w:proofErr w:type="spellEnd"/>
      <w:r>
        <w:rPr>
          <w:rFonts w:ascii="Arial" w:eastAsia="Arial" w:hAnsi="Arial" w:cs="Arial"/>
          <w:b/>
          <w:color w:val="000000"/>
          <w:sz w:val="20"/>
          <w:szCs w:val="20"/>
        </w:rPr>
        <w:t xml:space="preserve"> Systems Ltd. </w:t>
      </w:r>
    </w:p>
    <w:p w14:paraId="4F5D29F6" w14:textId="77777777" w:rsidR="008F1B5A" w:rsidRDefault="00201255">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Unlike firms developing individual or low-throughput tests for the detection of SARS-CoV2, </w:t>
      </w:r>
      <w:proofErr w:type="spellStart"/>
      <w:r>
        <w:rPr>
          <w:rFonts w:ascii="Arial" w:eastAsia="Arial" w:hAnsi="Arial" w:cs="Arial"/>
          <w:color w:val="000000"/>
          <w:sz w:val="20"/>
          <w:szCs w:val="20"/>
        </w:rPr>
        <w:t>FluroTest</w:t>
      </w:r>
      <w:proofErr w:type="spellEnd"/>
      <w:r>
        <w:rPr>
          <w:rFonts w:ascii="Arial" w:eastAsia="Arial" w:hAnsi="Arial" w:cs="Arial"/>
          <w:color w:val="000000"/>
          <w:sz w:val="20"/>
          <w:szCs w:val="20"/>
        </w:rPr>
        <w:t xml:space="preserve"> is developing a complete system for surge-scale testing of viruses and other pathogens to be deployed in environments where significant numbers of people n</w:t>
      </w:r>
      <w:r>
        <w:rPr>
          <w:rFonts w:ascii="Arial" w:eastAsia="Arial" w:hAnsi="Arial" w:cs="Arial"/>
          <w:color w:val="000000"/>
          <w:sz w:val="20"/>
          <w:szCs w:val="20"/>
        </w:rPr>
        <w:t xml:space="preserve">eed to be tested rapidly and frequently.  By combining and leveraging the disciplines of robotics automation, biochemistry (antibody labeling and binding), fluorescence detection and cloud computing, </w:t>
      </w:r>
      <w:proofErr w:type="spellStart"/>
      <w:r>
        <w:rPr>
          <w:rFonts w:ascii="Arial" w:eastAsia="Arial" w:hAnsi="Arial" w:cs="Arial"/>
          <w:color w:val="000000"/>
          <w:sz w:val="20"/>
          <w:szCs w:val="20"/>
        </w:rPr>
        <w:t>FluroTest</w:t>
      </w:r>
      <w:proofErr w:type="spellEnd"/>
      <w:r>
        <w:rPr>
          <w:rFonts w:ascii="Arial" w:eastAsia="Arial" w:hAnsi="Arial" w:cs="Arial"/>
          <w:color w:val="000000"/>
          <w:sz w:val="20"/>
          <w:szCs w:val="20"/>
        </w:rPr>
        <w:t xml:space="preserve"> believes it is creating the first pandemic def</w:t>
      </w:r>
      <w:r>
        <w:rPr>
          <w:rFonts w:ascii="Arial" w:eastAsia="Arial" w:hAnsi="Arial" w:cs="Arial"/>
          <w:color w:val="000000"/>
          <w:sz w:val="20"/>
          <w:szCs w:val="20"/>
        </w:rPr>
        <w:t>ense platform of its kind.</w:t>
      </w:r>
    </w:p>
    <w:p w14:paraId="441F9191" w14:textId="77777777" w:rsidR="008F1B5A" w:rsidRDefault="00201255">
      <w:pPr>
        <w:pBdr>
          <w:top w:val="nil"/>
          <w:left w:val="nil"/>
          <w:bottom w:val="nil"/>
          <w:right w:val="nil"/>
          <w:between w:val="nil"/>
        </w:pBdr>
        <w:spacing w:after="160" w:line="259" w:lineRule="auto"/>
        <w:jc w:val="both"/>
        <w:rPr>
          <w:rFonts w:ascii="Arial" w:eastAsia="Arial" w:hAnsi="Arial" w:cs="Arial"/>
          <w:color w:val="0000FF"/>
          <w:sz w:val="20"/>
          <w:szCs w:val="20"/>
          <w:u w:val="single"/>
        </w:rPr>
      </w:pPr>
      <w:proofErr w:type="spellStart"/>
      <w:r>
        <w:rPr>
          <w:rFonts w:ascii="Arial" w:eastAsia="Arial" w:hAnsi="Arial" w:cs="Arial"/>
          <w:color w:val="000000"/>
          <w:sz w:val="20"/>
          <w:szCs w:val="20"/>
        </w:rPr>
        <w:t>FluroTest</w:t>
      </w:r>
      <w:proofErr w:type="spellEnd"/>
      <w:r>
        <w:rPr>
          <w:rFonts w:ascii="Arial" w:eastAsia="Arial" w:hAnsi="Arial" w:cs="Arial"/>
          <w:color w:val="000000"/>
          <w:sz w:val="20"/>
          <w:szCs w:val="20"/>
        </w:rPr>
        <w:t xml:space="preserve"> is seeking additional capital in the near-term and will also be exploring strategic partnerships with manufacturing and distribution companies to advance the deployment of the patent pending platform it is developing.  </w:t>
      </w:r>
      <w:r>
        <w:rPr>
          <w:rFonts w:ascii="Arial" w:eastAsia="Arial" w:hAnsi="Arial" w:cs="Arial"/>
          <w:color w:val="000000"/>
          <w:sz w:val="20"/>
          <w:szCs w:val="20"/>
        </w:rPr>
        <w:t xml:space="preserve">To learn more, visit </w:t>
      </w:r>
      <w:hyperlink r:id="rId17">
        <w:r>
          <w:rPr>
            <w:rFonts w:ascii="Arial" w:eastAsia="Arial" w:hAnsi="Arial" w:cs="Arial"/>
            <w:color w:val="0000FF"/>
            <w:sz w:val="20"/>
            <w:szCs w:val="20"/>
            <w:u w:val="single"/>
          </w:rPr>
          <w:t>FluroTest.com</w:t>
        </w:r>
      </w:hyperlink>
    </w:p>
    <w:p w14:paraId="0A20414B" w14:textId="77777777" w:rsidR="008F1B5A" w:rsidRDefault="008F1B5A">
      <w:pPr>
        <w:pBdr>
          <w:top w:val="nil"/>
          <w:left w:val="nil"/>
          <w:bottom w:val="nil"/>
          <w:right w:val="nil"/>
          <w:between w:val="nil"/>
        </w:pBdr>
        <w:spacing w:after="160" w:line="259" w:lineRule="auto"/>
        <w:jc w:val="both"/>
        <w:rPr>
          <w:rFonts w:ascii="Arial" w:eastAsia="Arial" w:hAnsi="Arial" w:cs="Arial"/>
          <w:b/>
          <w:color w:val="000000"/>
          <w:sz w:val="22"/>
          <w:szCs w:val="22"/>
        </w:rPr>
      </w:pPr>
    </w:p>
    <w:p w14:paraId="12759704" w14:textId="77777777" w:rsidR="008F1B5A" w:rsidRDefault="008F1B5A">
      <w:pPr>
        <w:pBdr>
          <w:top w:val="nil"/>
          <w:left w:val="nil"/>
          <w:bottom w:val="nil"/>
          <w:right w:val="nil"/>
          <w:between w:val="nil"/>
        </w:pBdr>
        <w:spacing w:after="160" w:line="259" w:lineRule="auto"/>
        <w:jc w:val="both"/>
        <w:rPr>
          <w:rFonts w:ascii="Arial" w:eastAsia="Arial" w:hAnsi="Arial" w:cs="Arial"/>
          <w:b/>
          <w:color w:val="000000"/>
          <w:sz w:val="22"/>
          <w:szCs w:val="22"/>
        </w:rPr>
      </w:pPr>
    </w:p>
    <w:p w14:paraId="442F33D8" w14:textId="77777777" w:rsidR="008F1B5A" w:rsidRDefault="008F1B5A">
      <w:pPr>
        <w:pBdr>
          <w:top w:val="nil"/>
          <w:left w:val="nil"/>
          <w:bottom w:val="nil"/>
          <w:right w:val="nil"/>
          <w:between w:val="nil"/>
        </w:pBdr>
        <w:spacing w:after="160" w:line="259" w:lineRule="auto"/>
        <w:jc w:val="both"/>
        <w:rPr>
          <w:rFonts w:ascii="Arial" w:eastAsia="Arial" w:hAnsi="Arial" w:cs="Arial"/>
          <w:b/>
          <w:color w:val="000000"/>
          <w:sz w:val="22"/>
          <w:szCs w:val="22"/>
        </w:rPr>
      </w:pPr>
    </w:p>
    <w:p w14:paraId="61E4B291" w14:textId="77777777" w:rsidR="008F1B5A" w:rsidRDefault="00201255">
      <w:pPr>
        <w:pBdr>
          <w:top w:val="nil"/>
          <w:left w:val="nil"/>
          <w:bottom w:val="nil"/>
          <w:right w:val="nil"/>
          <w:between w:val="nil"/>
        </w:pBdr>
        <w:spacing w:after="160" w:line="259" w:lineRule="auto"/>
        <w:jc w:val="both"/>
        <w:rPr>
          <w:rFonts w:ascii="Arial" w:eastAsia="Arial" w:hAnsi="Arial" w:cs="Arial"/>
          <w:b/>
          <w:color w:val="000000"/>
          <w:sz w:val="22"/>
          <w:szCs w:val="22"/>
        </w:rPr>
      </w:pPr>
      <w:r>
        <w:rPr>
          <w:rFonts w:ascii="Arial" w:eastAsia="Arial" w:hAnsi="Arial" w:cs="Arial"/>
          <w:b/>
          <w:color w:val="000000"/>
          <w:sz w:val="22"/>
          <w:szCs w:val="22"/>
        </w:rPr>
        <w:t>Contact Information</w:t>
      </w:r>
    </w:p>
    <w:tbl>
      <w:tblPr>
        <w:tblStyle w:val="a"/>
        <w:tblW w:w="3415" w:type="dxa"/>
        <w:tblBorders>
          <w:top w:val="nil"/>
          <w:left w:val="nil"/>
          <w:bottom w:val="nil"/>
          <w:right w:val="nil"/>
          <w:insideH w:val="nil"/>
          <w:insideV w:val="nil"/>
        </w:tblBorders>
        <w:tblLayout w:type="fixed"/>
        <w:tblLook w:val="0400" w:firstRow="0" w:lastRow="0" w:firstColumn="0" w:lastColumn="0" w:noHBand="0" w:noVBand="1"/>
      </w:tblPr>
      <w:tblGrid>
        <w:gridCol w:w="2695"/>
        <w:gridCol w:w="720"/>
      </w:tblGrid>
      <w:tr w:rsidR="008F1B5A" w14:paraId="268A6DAD" w14:textId="77777777">
        <w:trPr>
          <w:trHeight w:val="20"/>
        </w:trPr>
        <w:tc>
          <w:tcPr>
            <w:tcW w:w="2695" w:type="dxa"/>
            <w:shd w:val="clear" w:color="auto" w:fill="auto"/>
          </w:tcPr>
          <w:p w14:paraId="1DA3615C" w14:textId="77777777" w:rsidR="008F1B5A" w:rsidRDefault="00201255">
            <w:pPr>
              <w:spacing w:after="160"/>
              <w:rPr>
                <w:rFonts w:ascii="Arial" w:eastAsia="Arial" w:hAnsi="Arial" w:cs="Arial"/>
                <w:b/>
                <w:color w:val="000000"/>
                <w:sz w:val="20"/>
                <w:szCs w:val="20"/>
              </w:rPr>
            </w:pPr>
            <w:r>
              <w:rPr>
                <w:rFonts w:ascii="Arial" w:eastAsia="Arial" w:hAnsi="Arial" w:cs="Arial"/>
                <w:b/>
                <w:color w:val="000000"/>
                <w:sz w:val="22"/>
                <w:szCs w:val="22"/>
              </w:rPr>
              <w:lastRenderedPageBreak/>
              <w:t>FluroTech Ltd.</w:t>
            </w:r>
          </w:p>
        </w:tc>
        <w:tc>
          <w:tcPr>
            <w:tcW w:w="720" w:type="dxa"/>
            <w:shd w:val="clear" w:color="auto" w:fill="auto"/>
          </w:tcPr>
          <w:p w14:paraId="1FDAC37E" w14:textId="77777777" w:rsidR="008F1B5A" w:rsidRDefault="008F1B5A">
            <w:pPr>
              <w:spacing w:after="160"/>
              <w:rPr>
                <w:rFonts w:ascii="Arial" w:eastAsia="Arial" w:hAnsi="Arial" w:cs="Arial"/>
                <w:b/>
                <w:color w:val="000000"/>
                <w:sz w:val="20"/>
                <w:szCs w:val="20"/>
                <w:u w:val="single"/>
              </w:rPr>
            </w:pPr>
          </w:p>
        </w:tc>
      </w:tr>
      <w:tr w:rsidR="008F1B5A" w14:paraId="32DD4CB4" w14:textId="77777777">
        <w:trPr>
          <w:trHeight w:val="20"/>
        </w:trPr>
        <w:tc>
          <w:tcPr>
            <w:tcW w:w="2695" w:type="dxa"/>
            <w:shd w:val="clear" w:color="auto" w:fill="auto"/>
          </w:tcPr>
          <w:p w14:paraId="279E4277" w14:textId="77777777" w:rsidR="008F1B5A" w:rsidRDefault="00201255">
            <w:pPr>
              <w:spacing w:after="40"/>
              <w:ind w:right="486"/>
              <w:rPr>
                <w:rFonts w:ascii="Arial" w:eastAsia="Arial" w:hAnsi="Arial" w:cs="Arial"/>
                <w:sz w:val="20"/>
                <w:szCs w:val="20"/>
              </w:rPr>
            </w:pPr>
            <w:r>
              <w:rPr>
                <w:rFonts w:ascii="Arial" w:eastAsia="Arial" w:hAnsi="Arial" w:cs="Arial"/>
                <w:sz w:val="20"/>
                <w:szCs w:val="20"/>
              </w:rPr>
              <w:t xml:space="preserve">Danny Dalla-Longa </w:t>
            </w:r>
          </w:p>
        </w:tc>
        <w:tc>
          <w:tcPr>
            <w:tcW w:w="720" w:type="dxa"/>
            <w:shd w:val="clear" w:color="auto" w:fill="auto"/>
          </w:tcPr>
          <w:p w14:paraId="7D68A70B" w14:textId="77777777" w:rsidR="008F1B5A" w:rsidRDefault="008F1B5A">
            <w:pPr>
              <w:spacing w:after="40"/>
              <w:rPr>
                <w:rFonts w:ascii="Arial" w:eastAsia="Arial" w:hAnsi="Arial" w:cs="Arial"/>
                <w:color w:val="0563C1"/>
                <w:sz w:val="20"/>
                <w:szCs w:val="20"/>
                <w:u w:val="single"/>
              </w:rPr>
            </w:pPr>
          </w:p>
        </w:tc>
      </w:tr>
      <w:tr w:rsidR="008F1B5A" w14:paraId="355C4779" w14:textId="77777777">
        <w:trPr>
          <w:trHeight w:val="20"/>
        </w:trPr>
        <w:tc>
          <w:tcPr>
            <w:tcW w:w="2695" w:type="dxa"/>
            <w:shd w:val="clear" w:color="auto" w:fill="auto"/>
          </w:tcPr>
          <w:p w14:paraId="6ED46B08" w14:textId="77777777" w:rsidR="008F1B5A" w:rsidRDefault="00201255">
            <w:pPr>
              <w:spacing w:after="40"/>
              <w:ind w:right="486"/>
              <w:rPr>
                <w:rFonts w:ascii="Arial" w:eastAsia="Arial" w:hAnsi="Arial" w:cs="Arial"/>
                <w:sz w:val="18"/>
                <w:szCs w:val="18"/>
              </w:rPr>
            </w:pPr>
            <w:r>
              <w:rPr>
                <w:rFonts w:ascii="Arial" w:eastAsia="Arial" w:hAnsi="Arial" w:cs="Arial"/>
                <w:sz w:val="18"/>
                <w:szCs w:val="18"/>
              </w:rPr>
              <w:t>Chief Executive Officer</w:t>
            </w:r>
          </w:p>
        </w:tc>
        <w:tc>
          <w:tcPr>
            <w:tcW w:w="720" w:type="dxa"/>
            <w:shd w:val="clear" w:color="auto" w:fill="auto"/>
          </w:tcPr>
          <w:p w14:paraId="661B0358" w14:textId="77777777" w:rsidR="008F1B5A" w:rsidRDefault="008F1B5A">
            <w:pPr>
              <w:spacing w:after="40"/>
              <w:rPr>
                <w:rFonts w:ascii="Arial" w:eastAsia="Arial" w:hAnsi="Arial" w:cs="Arial"/>
                <w:color w:val="0563C1"/>
                <w:sz w:val="18"/>
                <w:szCs w:val="18"/>
                <w:u w:val="single"/>
              </w:rPr>
            </w:pPr>
          </w:p>
        </w:tc>
      </w:tr>
      <w:tr w:rsidR="008F1B5A" w14:paraId="3F0A4045" w14:textId="77777777">
        <w:trPr>
          <w:trHeight w:val="20"/>
        </w:trPr>
        <w:tc>
          <w:tcPr>
            <w:tcW w:w="2695" w:type="dxa"/>
            <w:shd w:val="clear" w:color="auto" w:fill="auto"/>
          </w:tcPr>
          <w:p w14:paraId="302EB424" w14:textId="77777777" w:rsidR="008F1B5A" w:rsidRDefault="00201255">
            <w:pPr>
              <w:spacing w:after="40"/>
              <w:ind w:right="486"/>
              <w:jc w:val="both"/>
              <w:rPr>
                <w:rFonts w:ascii="Arial" w:eastAsia="Arial" w:hAnsi="Arial" w:cs="Arial"/>
                <w:b/>
                <w:sz w:val="20"/>
                <w:szCs w:val="20"/>
              </w:rPr>
            </w:pPr>
            <w:r>
              <w:rPr>
                <w:rFonts w:ascii="Arial" w:eastAsia="Arial" w:hAnsi="Arial" w:cs="Arial"/>
                <w:b/>
                <w:sz w:val="20"/>
                <w:szCs w:val="20"/>
              </w:rPr>
              <w:t>403.680.0644</w:t>
            </w:r>
          </w:p>
        </w:tc>
        <w:tc>
          <w:tcPr>
            <w:tcW w:w="720" w:type="dxa"/>
            <w:shd w:val="clear" w:color="auto" w:fill="auto"/>
          </w:tcPr>
          <w:p w14:paraId="0AC191FD" w14:textId="77777777" w:rsidR="008F1B5A" w:rsidRDefault="008F1B5A">
            <w:pPr>
              <w:spacing w:after="40"/>
              <w:rPr>
                <w:rFonts w:ascii="Arial" w:eastAsia="Arial" w:hAnsi="Arial" w:cs="Arial"/>
                <w:color w:val="0563C1"/>
                <w:sz w:val="20"/>
                <w:szCs w:val="20"/>
                <w:u w:val="single"/>
              </w:rPr>
            </w:pPr>
          </w:p>
        </w:tc>
      </w:tr>
      <w:tr w:rsidR="008F1B5A" w14:paraId="51D8BC29" w14:textId="77777777">
        <w:trPr>
          <w:trHeight w:val="20"/>
        </w:trPr>
        <w:tc>
          <w:tcPr>
            <w:tcW w:w="2695" w:type="dxa"/>
            <w:shd w:val="clear" w:color="auto" w:fill="auto"/>
          </w:tcPr>
          <w:p w14:paraId="07507B19" w14:textId="77777777" w:rsidR="008F1B5A" w:rsidRDefault="00201255">
            <w:pPr>
              <w:tabs>
                <w:tab w:val="left" w:pos="491"/>
              </w:tabs>
              <w:spacing w:after="40"/>
              <w:jc w:val="both"/>
              <w:rPr>
                <w:rFonts w:ascii="Arial" w:eastAsia="Arial" w:hAnsi="Arial" w:cs="Arial"/>
                <w:color w:val="0563C1"/>
                <w:sz w:val="20"/>
                <w:szCs w:val="20"/>
              </w:rPr>
            </w:pPr>
            <w:hyperlink r:id="rId18">
              <w:r>
                <w:rPr>
                  <w:rFonts w:ascii="Arial" w:eastAsia="Arial" w:hAnsi="Arial" w:cs="Arial"/>
                  <w:color w:val="0000FF"/>
                  <w:sz w:val="20"/>
                  <w:szCs w:val="20"/>
                  <w:u w:val="single"/>
                </w:rPr>
                <w:t>Danny@FluroTech.com</w:t>
              </w:r>
            </w:hyperlink>
          </w:p>
        </w:tc>
        <w:tc>
          <w:tcPr>
            <w:tcW w:w="720" w:type="dxa"/>
            <w:shd w:val="clear" w:color="auto" w:fill="auto"/>
          </w:tcPr>
          <w:p w14:paraId="358F345E" w14:textId="77777777" w:rsidR="008F1B5A" w:rsidRDefault="008F1B5A">
            <w:pPr>
              <w:spacing w:after="40"/>
              <w:rPr>
                <w:rFonts w:ascii="Arial" w:eastAsia="Arial" w:hAnsi="Arial" w:cs="Arial"/>
                <w:color w:val="0563C1"/>
                <w:sz w:val="20"/>
                <w:szCs w:val="20"/>
                <w:u w:val="single"/>
              </w:rPr>
            </w:pPr>
          </w:p>
        </w:tc>
      </w:tr>
      <w:tr w:rsidR="008F1B5A" w14:paraId="51C26710" w14:textId="77777777">
        <w:trPr>
          <w:trHeight w:val="20"/>
        </w:trPr>
        <w:tc>
          <w:tcPr>
            <w:tcW w:w="2695" w:type="dxa"/>
            <w:shd w:val="clear" w:color="auto" w:fill="auto"/>
          </w:tcPr>
          <w:p w14:paraId="02B74BB6" w14:textId="77777777" w:rsidR="008F1B5A" w:rsidRDefault="00201255">
            <w:pPr>
              <w:tabs>
                <w:tab w:val="left" w:pos="491"/>
              </w:tabs>
              <w:spacing w:after="40"/>
              <w:jc w:val="both"/>
              <w:rPr>
                <w:rFonts w:ascii="Arial" w:eastAsia="Arial" w:hAnsi="Arial" w:cs="Arial"/>
                <w:color w:val="0563C1"/>
                <w:sz w:val="20"/>
                <w:szCs w:val="20"/>
              </w:rPr>
            </w:pPr>
            <w:hyperlink r:id="rId19">
              <w:r>
                <w:rPr>
                  <w:rFonts w:ascii="Arial" w:eastAsia="Arial" w:hAnsi="Arial" w:cs="Arial"/>
                  <w:color w:val="0000FF"/>
                  <w:sz w:val="20"/>
                  <w:szCs w:val="20"/>
                  <w:u w:val="single"/>
                </w:rPr>
                <w:t>FluroTech.com</w:t>
              </w:r>
            </w:hyperlink>
          </w:p>
        </w:tc>
        <w:tc>
          <w:tcPr>
            <w:tcW w:w="720" w:type="dxa"/>
            <w:shd w:val="clear" w:color="auto" w:fill="auto"/>
          </w:tcPr>
          <w:p w14:paraId="4CE03E49" w14:textId="77777777" w:rsidR="008F1B5A" w:rsidRDefault="008F1B5A">
            <w:pPr>
              <w:spacing w:after="40"/>
              <w:rPr>
                <w:rFonts w:ascii="Arial" w:eastAsia="Arial" w:hAnsi="Arial" w:cs="Arial"/>
                <w:color w:val="0563C1"/>
                <w:sz w:val="20"/>
                <w:szCs w:val="20"/>
                <w:u w:val="single"/>
              </w:rPr>
            </w:pPr>
          </w:p>
        </w:tc>
      </w:tr>
    </w:tbl>
    <w:p w14:paraId="29F8BAEA" w14:textId="77777777" w:rsidR="008F1B5A" w:rsidRDefault="00201255">
      <w:pPr>
        <w:pBdr>
          <w:top w:val="nil"/>
          <w:left w:val="nil"/>
          <w:bottom w:val="nil"/>
          <w:right w:val="nil"/>
          <w:between w:val="nil"/>
        </w:pBdr>
        <w:tabs>
          <w:tab w:val="left" w:pos="491"/>
        </w:tabs>
        <w:spacing w:before="160"/>
        <w:jc w:val="both"/>
        <w:rPr>
          <w:rFonts w:ascii="Arial" w:eastAsia="Arial" w:hAnsi="Arial" w:cs="Arial"/>
          <w:b/>
          <w:color w:val="0563C1"/>
          <w:sz w:val="20"/>
          <w:szCs w:val="20"/>
          <w:u w:val="single"/>
        </w:rPr>
      </w:pPr>
      <w:r>
        <w:rPr>
          <w:rFonts w:ascii="Arial" w:eastAsia="Arial" w:hAnsi="Arial" w:cs="Arial"/>
          <w:i/>
          <w:color w:val="000000"/>
          <w:sz w:val="20"/>
          <w:szCs w:val="20"/>
        </w:rPr>
        <w:t>This news release does not constitute an offer to sell or a solicitation of an offer to buy any of the securities. The securities described herein have not been and will not be registered under the United States Securities Act of 1933, as amended, or the s</w:t>
      </w:r>
      <w:r>
        <w:rPr>
          <w:rFonts w:ascii="Arial" w:eastAsia="Arial" w:hAnsi="Arial" w:cs="Arial"/>
          <w:i/>
          <w:color w:val="000000"/>
          <w:sz w:val="20"/>
          <w:szCs w:val="20"/>
        </w:rPr>
        <w:t>ecurities laws of any state and may not be offered or sold within the United States or to or for the benefit or account of U.S. persons, absent such registration or an applicable exemption from such registration requirements.</w:t>
      </w:r>
    </w:p>
    <w:p w14:paraId="46275E47" w14:textId="77777777" w:rsidR="008F1B5A" w:rsidRDefault="008F1B5A">
      <w:pPr>
        <w:pBdr>
          <w:top w:val="nil"/>
          <w:left w:val="nil"/>
          <w:bottom w:val="nil"/>
          <w:right w:val="nil"/>
          <w:between w:val="nil"/>
        </w:pBdr>
        <w:tabs>
          <w:tab w:val="left" w:pos="491"/>
        </w:tabs>
        <w:jc w:val="both"/>
        <w:rPr>
          <w:rFonts w:ascii="Arial" w:eastAsia="Arial" w:hAnsi="Arial" w:cs="Arial"/>
          <w:color w:val="0563C1"/>
          <w:sz w:val="20"/>
          <w:szCs w:val="20"/>
          <w:u w:val="single"/>
        </w:rPr>
      </w:pPr>
    </w:p>
    <w:p w14:paraId="6F589744" w14:textId="77777777" w:rsidR="008F1B5A" w:rsidRDefault="00201255">
      <w:pPr>
        <w:pBdr>
          <w:top w:val="nil"/>
          <w:left w:val="nil"/>
          <w:bottom w:val="nil"/>
          <w:right w:val="nil"/>
          <w:between w:val="nil"/>
        </w:pBdr>
        <w:tabs>
          <w:tab w:val="left" w:pos="491"/>
        </w:tabs>
        <w:spacing w:after="160"/>
        <w:rPr>
          <w:rFonts w:ascii="Arial" w:eastAsia="Arial" w:hAnsi="Arial" w:cs="Arial"/>
          <w:b/>
          <w:color w:val="000000"/>
          <w:sz w:val="20"/>
          <w:szCs w:val="20"/>
        </w:rPr>
      </w:pPr>
      <w:r>
        <w:rPr>
          <w:rFonts w:ascii="Arial" w:eastAsia="Arial" w:hAnsi="Arial" w:cs="Arial"/>
          <w:b/>
          <w:color w:val="000000"/>
          <w:sz w:val="20"/>
          <w:szCs w:val="20"/>
        </w:rPr>
        <w:t>Cautionary Statement Regarding Forward-Looking Information</w:t>
      </w:r>
    </w:p>
    <w:p w14:paraId="34B004DD" w14:textId="77777777" w:rsidR="008F1B5A" w:rsidRDefault="00201255">
      <w:pPr>
        <w:spacing w:after="160" w:line="256" w:lineRule="auto"/>
        <w:jc w:val="both"/>
        <w:rPr>
          <w:rFonts w:ascii="Arial" w:eastAsia="Arial" w:hAnsi="Arial" w:cs="Arial"/>
          <w:color w:val="000000"/>
          <w:sz w:val="16"/>
          <w:szCs w:val="16"/>
        </w:rPr>
      </w:pPr>
      <w:r>
        <w:rPr>
          <w:rFonts w:ascii="Arial" w:eastAsia="Arial" w:hAnsi="Arial" w:cs="Arial"/>
          <w:color w:val="000000"/>
          <w:sz w:val="16"/>
          <w:szCs w:val="16"/>
        </w:rPr>
        <w:t>This news release contains "forward-looking information" within the meaning of Canadian securities legislation. Forward-looking information generally refers to information about an issuer’s busines</w:t>
      </w:r>
      <w:r>
        <w:rPr>
          <w:rFonts w:ascii="Arial" w:eastAsia="Arial" w:hAnsi="Arial" w:cs="Arial"/>
          <w:color w:val="000000"/>
          <w:sz w:val="16"/>
          <w:szCs w:val="16"/>
        </w:rPr>
        <w:t xml:space="preserve">s, capital, </w:t>
      </w:r>
      <w:proofErr w:type="gramStart"/>
      <w:r>
        <w:rPr>
          <w:rFonts w:ascii="Arial" w:eastAsia="Arial" w:hAnsi="Arial" w:cs="Arial"/>
          <w:color w:val="000000"/>
          <w:sz w:val="16"/>
          <w:szCs w:val="16"/>
        </w:rPr>
        <w:t>technology</w:t>
      </w:r>
      <w:proofErr w:type="gramEnd"/>
      <w:r>
        <w:rPr>
          <w:rFonts w:ascii="Arial" w:eastAsia="Arial" w:hAnsi="Arial" w:cs="Arial"/>
          <w:color w:val="000000"/>
          <w:sz w:val="16"/>
          <w:szCs w:val="16"/>
        </w:rPr>
        <w:t xml:space="preserve"> or operations that is prospective in nature, and includes future-oriented financial information about the issuer’s prospective financial performance or financial position. The forward-looking information in this news release includes</w:t>
      </w:r>
      <w:r>
        <w:rPr>
          <w:rFonts w:ascii="Arial" w:eastAsia="Arial" w:hAnsi="Arial" w:cs="Arial"/>
          <w:color w:val="000000"/>
          <w:sz w:val="16"/>
          <w:szCs w:val="16"/>
        </w:rPr>
        <w:t xml:space="preserve"> disclosure about the Offering and the Company’s expected use of proceeds. These statements and other forward-looking information are based on assumptions and estimates that the Company believes are appropriate and reasonable in the circumstances, includin</w:t>
      </w:r>
      <w:r>
        <w:rPr>
          <w:rFonts w:ascii="Arial" w:eastAsia="Arial" w:hAnsi="Arial" w:cs="Arial"/>
          <w:color w:val="000000"/>
          <w:sz w:val="16"/>
          <w:szCs w:val="16"/>
        </w:rPr>
        <w:t xml:space="preserve">g, without limitation, prevailing market conditions and general business, economic, competitive, political and social uncertainties, as well as the ability of </w:t>
      </w:r>
      <w:proofErr w:type="spellStart"/>
      <w:r>
        <w:rPr>
          <w:rFonts w:ascii="Arial" w:eastAsia="Arial" w:hAnsi="Arial" w:cs="Arial"/>
          <w:color w:val="000000"/>
          <w:sz w:val="16"/>
          <w:szCs w:val="16"/>
        </w:rPr>
        <w:t>FluroTest</w:t>
      </w:r>
      <w:proofErr w:type="spellEnd"/>
      <w:r>
        <w:rPr>
          <w:rFonts w:ascii="Arial" w:eastAsia="Arial" w:hAnsi="Arial" w:cs="Arial"/>
          <w:color w:val="000000"/>
          <w:sz w:val="16"/>
          <w:szCs w:val="16"/>
        </w:rPr>
        <w:t xml:space="preserve"> to develop and commercialize its technology in a timely manner and to obtain the financ</w:t>
      </w:r>
      <w:r>
        <w:rPr>
          <w:rFonts w:ascii="Arial" w:eastAsia="Arial" w:hAnsi="Arial" w:cs="Arial"/>
          <w:color w:val="000000"/>
          <w:sz w:val="16"/>
          <w:szCs w:val="16"/>
        </w:rPr>
        <w:t>ing required in connection with the same, to develop the forward-looking information in this news release. There can be no assurance that such statements will prove to be accurate, as actual results and future events could differ materially from those anti</w:t>
      </w:r>
      <w:r>
        <w:rPr>
          <w:rFonts w:ascii="Arial" w:eastAsia="Arial" w:hAnsi="Arial" w:cs="Arial"/>
          <w:color w:val="000000"/>
          <w:sz w:val="16"/>
          <w:szCs w:val="16"/>
        </w:rPr>
        <w:t>cipated in such statements. Accordingly, readers should not place undue reliance on forward-looking statements.</w:t>
      </w:r>
    </w:p>
    <w:p w14:paraId="5FB7612F" w14:textId="77777777" w:rsidR="008F1B5A" w:rsidRDefault="00201255">
      <w:pPr>
        <w:spacing w:after="160" w:line="256" w:lineRule="auto"/>
        <w:jc w:val="both"/>
        <w:rPr>
          <w:rFonts w:ascii="Arial" w:eastAsia="Arial" w:hAnsi="Arial" w:cs="Arial"/>
          <w:color w:val="000000"/>
          <w:sz w:val="16"/>
          <w:szCs w:val="16"/>
        </w:rPr>
      </w:pPr>
      <w:r>
        <w:rPr>
          <w:rFonts w:ascii="Arial" w:eastAsia="Arial" w:hAnsi="Arial" w:cs="Arial"/>
          <w:color w:val="000000"/>
          <w:sz w:val="16"/>
          <w:szCs w:val="16"/>
        </w:rPr>
        <w:t>Actual results may vary from the forward-looking information in this news release due to certain material risk factors described in the Corporat</w:t>
      </w:r>
      <w:r>
        <w:rPr>
          <w:rFonts w:ascii="Arial" w:eastAsia="Arial" w:hAnsi="Arial" w:cs="Arial"/>
          <w:color w:val="000000"/>
          <w:sz w:val="16"/>
          <w:szCs w:val="16"/>
        </w:rPr>
        <w:t>ion’s Annual Information Form under the heading “Risk Factors” and the failure to use the proceeds of the Offering as set out herein, the risk that competitors will develop a similar or superior testing platform, the technology not having the anticipated t</w:t>
      </w:r>
      <w:r>
        <w:rPr>
          <w:rFonts w:ascii="Arial" w:eastAsia="Arial" w:hAnsi="Arial" w:cs="Arial"/>
          <w:color w:val="000000"/>
          <w:sz w:val="16"/>
          <w:szCs w:val="16"/>
        </w:rPr>
        <w:t xml:space="preserve">esting benefits, the inability of </w:t>
      </w:r>
      <w:proofErr w:type="spellStart"/>
      <w:r>
        <w:rPr>
          <w:rFonts w:ascii="Arial" w:eastAsia="Arial" w:hAnsi="Arial" w:cs="Arial"/>
          <w:color w:val="000000"/>
          <w:sz w:val="16"/>
          <w:szCs w:val="16"/>
        </w:rPr>
        <w:t>FluroTest</w:t>
      </w:r>
      <w:proofErr w:type="spellEnd"/>
      <w:r>
        <w:rPr>
          <w:rFonts w:ascii="Arial" w:eastAsia="Arial" w:hAnsi="Arial" w:cs="Arial"/>
          <w:color w:val="000000"/>
          <w:sz w:val="16"/>
          <w:szCs w:val="16"/>
        </w:rPr>
        <w:t xml:space="preserve"> to obtain the necessary financing to achieve its purpose on satisfactory terms or at all, the failure to form strategic partnerships necessary to deploy and distribute the technology. The Company cautions that th</w:t>
      </w:r>
      <w:r>
        <w:rPr>
          <w:rFonts w:ascii="Arial" w:eastAsia="Arial" w:hAnsi="Arial" w:cs="Arial"/>
          <w:color w:val="000000"/>
          <w:sz w:val="16"/>
          <w:szCs w:val="16"/>
        </w:rPr>
        <w:t>e foregoing list of material risk factors and assumptions is not exhaustive.</w:t>
      </w:r>
    </w:p>
    <w:p w14:paraId="19182C2E" w14:textId="77777777" w:rsidR="008F1B5A" w:rsidRDefault="00201255">
      <w:pPr>
        <w:pBdr>
          <w:top w:val="nil"/>
          <w:left w:val="nil"/>
          <w:bottom w:val="nil"/>
          <w:right w:val="nil"/>
          <w:between w:val="nil"/>
        </w:pBdr>
        <w:spacing w:after="160" w:line="259" w:lineRule="auto"/>
        <w:jc w:val="both"/>
        <w:rPr>
          <w:rFonts w:ascii="Arial" w:eastAsia="Arial" w:hAnsi="Arial" w:cs="Arial"/>
          <w:color w:val="000000"/>
          <w:sz w:val="16"/>
          <w:szCs w:val="16"/>
        </w:rPr>
      </w:pPr>
      <w:r>
        <w:rPr>
          <w:rFonts w:ascii="Arial" w:eastAsia="Arial" w:hAnsi="Arial" w:cs="Arial"/>
          <w:color w:val="000000"/>
          <w:sz w:val="16"/>
          <w:szCs w:val="16"/>
        </w:rPr>
        <w:t xml:space="preserve">The Company assumes no obligation to update or revise the forward-looking information in this news </w:t>
      </w:r>
      <w:proofErr w:type="gramStart"/>
      <w:r>
        <w:rPr>
          <w:rFonts w:ascii="Arial" w:eastAsia="Arial" w:hAnsi="Arial" w:cs="Arial"/>
          <w:color w:val="000000"/>
          <w:sz w:val="16"/>
          <w:szCs w:val="16"/>
        </w:rPr>
        <w:t>release, unless</w:t>
      </w:r>
      <w:proofErr w:type="gramEnd"/>
      <w:r>
        <w:rPr>
          <w:rFonts w:ascii="Arial" w:eastAsia="Arial" w:hAnsi="Arial" w:cs="Arial"/>
          <w:color w:val="000000"/>
          <w:sz w:val="16"/>
          <w:szCs w:val="16"/>
        </w:rPr>
        <w:t xml:space="preserve"> it is required to do so under Canadian securities legislation.</w:t>
      </w:r>
    </w:p>
    <w:p w14:paraId="4F63ADF6" w14:textId="77777777" w:rsidR="008F1B5A" w:rsidRDefault="00201255">
      <w:pPr>
        <w:pBdr>
          <w:top w:val="nil"/>
          <w:left w:val="nil"/>
          <w:bottom w:val="nil"/>
          <w:right w:val="nil"/>
          <w:between w:val="nil"/>
        </w:pBdr>
        <w:spacing w:after="160" w:line="259" w:lineRule="auto"/>
        <w:jc w:val="both"/>
        <w:rPr>
          <w:rFonts w:ascii="Arial" w:eastAsia="Arial" w:hAnsi="Arial" w:cs="Arial"/>
          <w:b/>
          <w:color w:val="000000"/>
          <w:sz w:val="20"/>
          <w:szCs w:val="20"/>
        </w:rPr>
      </w:pPr>
      <w:r>
        <w:rPr>
          <w:rFonts w:ascii="Arial" w:eastAsia="Arial" w:hAnsi="Arial" w:cs="Arial"/>
          <w:b/>
          <w:color w:val="000000"/>
          <w:sz w:val="16"/>
          <w:szCs w:val="16"/>
        </w:rPr>
        <w:t>N</w:t>
      </w:r>
      <w:r>
        <w:rPr>
          <w:rFonts w:ascii="Arial" w:eastAsia="Arial" w:hAnsi="Arial" w:cs="Arial"/>
          <w:b/>
          <w:color w:val="000000"/>
          <w:sz w:val="16"/>
          <w:szCs w:val="16"/>
        </w:rPr>
        <w:t>either the TSX Venture Exchange nor its Regulation Services Provider (as that term is defined in the policies of the TSX Venture Exchange) accepts responsibility for the adequacy of this release</w:t>
      </w:r>
    </w:p>
    <w:sectPr w:rsidR="008F1B5A">
      <w:headerReference w:type="default" r:id="rId20"/>
      <w:footerReference w:type="default" r:id="rId21"/>
      <w:pgSz w:w="12240" w:h="15840"/>
      <w:pgMar w:top="1152"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94D43" w14:textId="77777777" w:rsidR="00000000" w:rsidRDefault="00201255">
      <w:r>
        <w:separator/>
      </w:r>
    </w:p>
  </w:endnote>
  <w:endnote w:type="continuationSeparator" w:id="0">
    <w:p w14:paraId="3E9FBF0A" w14:textId="77777777" w:rsidR="00000000" w:rsidRDefault="0020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E59AB" w14:textId="77777777" w:rsidR="008F1B5A" w:rsidRDefault="00201255">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59A9F" w14:textId="77777777" w:rsidR="00000000" w:rsidRDefault="00201255">
      <w:r>
        <w:separator/>
      </w:r>
    </w:p>
  </w:footnote>
  <w:footnote w:type="continuationSeparator" w:id="0">
    <w:p w14:paraId="0100664B" w14:textId="77777777" w:rsidR="00000000" w:rsidRDefault="00201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87AB7" w14:textId="77777777" w:rsidR="008F1B5A" w:rsidRDefault="00201255">
    <w:pPr>
      <w:pBdr>
        <w:top w:val="nil"/>
        <w:left w:val="nil"/>
        <w:bottom w:val="nil"/>
        <w:right w:val="nil"/>
        <w:between w:val="nil"/>
      </w:pBdr>
      <w:spacing w:before="2" w:after="160" w:line="259" w:lineRule="auto"/>
      <w:jc w:val="center"/>
      <w:rPr>
        <w:color w:val="000000"/>
      </w:rPr>
    </w:pPr>
    <w:r>
      <w:rPr>
        <w:noProof/>
        <w:color w:val="000000"/>
      </w:rPr>
      <w:drawing>
        <wp:inline distT="0" distB="0" distL="0" distR="0" wp14:anchorId="14E945EF" wp14:editId="542CA569">
          <wp:extent cx="2554834" cy="589788"/>
          <wp:effectExtent l="0" t="0" r="0" b="0"/>
          <wp:docPr id="1" name="image1.jpg" descr="C:\Users\curtis.smith\AppData\Local\Microsoft\Windows\INetCache\Content.Word\FT_LOGO1.jpg"/>
          <wp:cNvGraphicFramePr/>
          <a:graphic xmlns:a="http://schemas.openxmlformats.org/drawingml/2006/main">
            <a:graphicData uri="http://schemas.openxmlformats.org/drawingml/2006/picture">
              <pic:pic xmlns:pic="http://schemas.openxmlformats.org/drawingml/2006/picture">
                <pic:nvPicPr>
                  <pic:cNvPr id="0" name="image1.jpg" descr="C:\Users\curtis.smith\AppData\Local\Microsoft\Windows\INetCache\Content.Word\FT_LOGO1.jpg"/>
                  <pic:cNvPicPr preferRelativeResize="0"/>
                </pic:nvPicPr>
                <pic:blipFill>
                  <a:blip r:embed="rId1"/>
                  <a:srcRect l="1470"/>
                  <a:stretch>
                    <a:fillRect/>
                  </a:stretch>
                </pic:blipFill>
                <pic:spPr>
                  <a:xfrm>
                    <a:off x="0" y="0"/>
                    <a:ext cx="2554834" cy="58978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B5A"/>
    <w:rsid w:val="00201255"/>
    <w:rsid w:val="0085512C"/>
    <w:rsid w:val="008F1B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58DD2"/>
  <w15:docId w15:val="{AD411E65-6CF5-4463-8488-392DD190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pBdr>
        <w:top w:val="nil"/>
        <w:left w:val="nil"/>
        <w:bottom w:val="nil"/>
        <w:right w:val="nil"/>
        <w:between w:val="nil"/>
      </w:pBdr>
      <w:outlineLvl w:val="4"/>
    </w:pPr>
    <w:rPr>
      <w:b/>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otcmarkets.com/stock/FLURF/overview" TargetMode="External"/><Relationship Id="rId13" Type="http://schemas.openxmlformats.org/officeDocument/2006/relationships/hyperlink" Target="http://flurotech.com/" TargetMode="External"/><Relationship Id="rId18" Type="http://schemas.openxmlformats.org/officeDocument/2006/relationships/hyperlink" Target="mailto:danny@flurotech.com?subject=Press%20Release" TargetMode="External"/><Relationship Id="rId26" Type="http://schemas.openxmlformats.org/officeDocument/2006/relationships/customXml" Target="../customXml/item3.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s://flurotech.com/investors/" TargetMode="External"/><Relationship Id="rId12" Type="http://schemas.openxmlformats.org/officeDocument/2006/relationships/hyperlink" Target="https://www.otcmarkets.com/stock/FLURF/overview" TargetMode="External"/><Relationship Id="rId17" Type="http://schemas.openxmlformats.org/officeDocument/2006/relationships/hyperlink" Target="http://www.flurotest.com/" TargetMode="External"/><Relationship Id="rId25"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http://www.flurotech.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flurotech.com" TargetMode="External"/><Relationship Id="rId11" Type="http://schemas.openxmlformats.org/officeDocument/2006/relationships/hyperlink" Target="https://flurotech.com/investors/" TargetMode="External"/><Relationship Id="rId24" Type="http://schemas.openxmlformats.org/officeDocument/2006/relationships/customXml" Target="../customXml/item1.xml"/><Relationship Id="rId5" Type="http://schemas.openxmlformats.org/officeDocument/2006/relationships/endnotes" Target="endnotes.xml"/><Relationship Id="rId15" Type="http://schemas.openxmlformats.org/officeDocument/2006/relationships/hyperlink" Target="http://flurotech.com/completest/" TargetMode="External"/><Relationship Id="rId23" Type="http://schemas.openxmlformats.org/officeDocument/2006/relationships/theme" Target="theme/theme1.xml"/><Relationship Id="rId10" Type="http://schemas.openxmlformats.org/officeDocument/2006/relationships/hyperlink" Target="http://flurotech.com/" TargetMode="External"/><Relationship Id="rId19" Type="http://schemas.openxmlformats.org/officeDocument/2006/relationships/hyperlink" Target="http://www.flurotech.com/" TargetMode="External"/><Relationship Id="rId4" Type="http://schemas.openxmlformats.org/officeDocument/2006/relationships/footnotes" Target="footnotes.xml"/><Relationship Id="rId9" Type="http://schemas.openxmlformats.org/officeDocument/2006/relationships/hyperlink" Target="http://flurotech.com/" TargetMode="External"/><Relationship Id="rId14" Type="http://schemas.openxmlformats.org/officeDocument/2006/relationships/hyperlink" Target="http://flurotech.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E9CCE33C58044AA9FD228FA2F5A5B" ma:contentTypeVersion="13" ma:contentTypeDescription="Create a new document." ma:contentTypeScope="" ma:versionID="b40f4ea4c450a26aa105e22822521212">
  <xsd:schema xmlns:xsd="http://www.w3.org/2001/XMLSchema" xmlns:xs="http://www.w3.org/2001/XMLSchema" xmlns:p="http://schemas.microsoft.com/office/2006/metadata/properties" xmlns:ns2="99fddd49-bd1e-454a-8bcd-187b51bc884b" xmlns:ns3="f9a908ca-87fd-4625-9346-938f4c38b66c" targetNamespace="http://schemas.microsoft.com/office/2006/metadata/properties" ma:root="true" ma:fieldsID="7298180a9affba421325fc1199655e37" ns2:_="" ns3:_="">
    <xsd:import namespace="99fddd49-bd1e-454a-8bcd-187b51bc884b"/>
    <xsd:import namespace="f9a908ca-87fd-4625-9346-938f4c38b66c"/>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ddd49-bd1e-454a-8bcd-187b51bc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908ca-87fd-4625-9346-938f4c38b6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99fddd49-bd1e-454a-8bcd-187b51bc884b" xsi:nil="true"/>
  </documentManagement>
</p:properties>
</file>

<file path=customXml/itemProps1.xml><?xml version="1.0" encoding="utf-8"?>
<ds:datastoreItem xmlns:ds="http://schemas.openxmlformats.org/officeDocument/2006/customXml" ds:itemID="{D4DF7B7A-82F7-4ED2-AFD4-E0D23C2080F8}"/>
</file>

<file path=customXml/itemProps2.xml><?xml version="1.0" encoding="utf-8"?>
<ds:datastoreItem xmlns:ds="http://schemas.openxmlformats.org/officeDocument/2006/customXml" ds:itemID="{BA2AD6FF-9B15-4490-A4DC-9FB91D03AB6C}"/>
</file>

<file path=customXml/itemProps3.xml><?xml version="1.0" encoding="utf-8"?>
<ds:datastoreItem xmlns:ds="http://schemas.openxmlformats.org/officeDocument/2006/customXml" ds:itemID="{D79C296A-F3C2-4BA5-B06C-EFAD23B706AC}"/>
</file>

<file path=docProps/app.xml><?xml version="1.0" encoding="utf-8"?>
<Properties xmlns="http://schemas.openxmlformats.org/officeDocument/2006/extended-properties" xmlns:vt="http://schemas.openxmlformats.org/officeDocument/2006/docPropsVTypes">
  <Template>Normal</Template>
  <TotalTime>11</TotalTime>
  <Pages>2</Pages>
  <Words>1107</Words>
  <Characters>6310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Curtis Smith</cp:lastModifiedBy>
  <cp:revision>2</cp:revision>
  <dcterms:created xsi:type="dcterms:W3CDTF">2021-01-11T00:53:00Z</dcterms:created>
  <dcterms:modified xsi:type="dcterms:W3CDTF">2021-01-11T00:53:00Z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0x010100A71E9CCE33C58044AA9FD228FA2F5A5B</vt:lpwstr>
  </property>
</Properties>
</file>